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CED4" w14:textId="77777777" w:rsidR="005D367F" w:rsidRPr="005D367F" w:rsidRDefault="005D367F" w:rsidP="005D367F">
      <w:pPr>
        <w:rPr>
          <w:rFonts w:ascii="Arial" w:hAnsi="Arial" w:cs="Arial"/>
        </w:rPr>
      </w:pPr>
    </w:p>
    <w:p w14:paraId="06C85CE2" w14:textId="77777777" w:rsidR="005D367F" w:rsidRPr="005D367F" w:rsidRDefault="005D367F" w:rsidP="005D367F">
      <w:pPr>
        <w:rPr>
          <w:rFonts w:ascii="Arial" w:hAnsi="Arial" w:cs="Arial"/>
        </w:rPr>
      </w:pPr>
    </w:p>
    <w:p w14:paraId="4F9FF09D" w14:textId="77777777" w:rsidR="005D367F" w:rsidRPr="005D367F" w:rsidRDefault="005D367F" w:rsidP="005D367F">
      <w:pPr>
        <w:rPr>
          <w:rFonts w:ascii="Arial" w:hAnsi="Arial" w:cs="Arial"/>
        </w:rPr>
      </w:pPr>
    </w:p>
    <w:p w14:paraId="45DE9ED0" w14:textId="77777777" w:rsidR="005D367F" w:rsidRPr="005D367F" w:rsidRDefault="005D367F" w:rsidP="005D367F">
      <w:pPr>
        <w:jc w:val="center"/>
        <w:rPr>
          <w:rFonts w:ascii="Arial" w:hAnsi="Arial" w:cs="Arial"/>
        </w:rPr>
      </w:pPr>
      <w:r w:rsidRPr="005D367F">
        <w:rPr>
          <w:rFonts w:ascii="Arial" w:hAnsi="Arial" w:cs="Arial"/>
        </w:rPr>
        <w:t>STATEMENT OF PROCEDURAL RIGHTS</w:t>
      </w:r>
    </w:p>
    <w:p w14:paraId="087F5AFF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18D29C6A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 xml:space="preserve">Pursuant to 18 V.S.A. § 128(a), you have the right to appeal this decision to the Civil Division of Superior Court in the county where you reside or maintain a business.  </w:t>
      </w:r>
    </w:p>
    <w:p w14:paraId="62C755B0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142F3036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>Appeals are governed by Vermont Rule of Civil Procedure 74.</w:t>
      </w:r>
    </w:p>
    <w:p w14:paraId="715930FA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05B8CADA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 xml:space="preserve">Pursuant to V.R.C.P. 74(b), </w:t>
      </w:r>
      <w:proofErr w:type="gramStart"/>
      <w:r w:rsidRPr="005D367F">
        <w:rPr>
          <w:rFonts w:ascii="Arial" w:hAnsi="Arial" w:cs="Arial"/>
          <w:iCs/>
        </w:rPr>
        <w:t>in order to</w:t>
      </w:r>
      <w:proofErr w:type="gramEnd"/>
      <w:r w:rsidRPr="005D367F">
        <w:rPr>
          <w:rFonts w:ascii="Arial" w:hAnsi="Arial" w:cs="Arial"/>
          <w:iCs/>
        </w:rPr>
        <w:t xml:space="preserve"> appeal a decision, you must send a Notice of Appeal to the designated officer of the </w:t>
      </w:r>
      <w:r w:rsidRPr="005D367F">
        <w:rPr>
          <w:rFonts w:ascii="Arial" w:hAnsi="Arial" w:cs="Arial"/>
          <w:iCs/>
          <w:highlight w:val="yellow"/>
        </w:rPr>
        <w:t>Town/City of [</w:t>
      </w:r>
      <w:r w:rsidRPr="005D367F">
        <w:rPr>
          <w:rFonts w:ascii="Arial" w:hAnsi="Arial" w:cs="Arial"/>
          <w:iCs/>
          <w:highlight w:val="yellow"/>
        </w:rPr>
        <w:tab/>
      </w:r>
      <w:r w:rsidRPr="005D367F">
        <w:rPr>
          <w:rFonts w:ascii="Arial" w:hAnsi="Arial" w:cs="Arial"/>
          <w:iCs/>
          <w:highlight w:val="yellow"/>
        </w:rPr>
        <w:tab/>
      </w:r>
      <w:r w:rsidRPr="005D367F">
        <w:rPr>
          <w:rFonts w:ascii="Arial" w:hAnsi="Arial" w:cs="Arial"/>
          <w:iCs/>
          <w:highlight w:val="yellow"/>
        </w:rPr>
        <w:tab/>
        <w:t>]</w:t>
      </w:r>
      <w:r w:rsidRPr="005D367F">
        <w:rPr>
          <w:rFonts w:ascii="Arial" w:hAnsi="Arial" w:cs="Arial"/>
          <w:iCs/>
        </w:rPr>
        <w:t xml:space="preserve"> within thirty (30) days of the decision:</w:t>
      </w:r>
    </w:p>
    <w:p w14:paraId="1D4AD38E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5AA2B791" w14:textId="77777777" w:rsidR="005D367F" w:rsidRPr="005D367F" w:rsidRDefault="005D367F" w:rsidP="005D367F">
      <w:pPr>
        <w:ind w:left="1440"/>
        <w:rPr>
          <w:rFonts w:ascii="Arial" w:hAnsi="Arial" w:cs="Arial"/>
          <w:b/>
          <w:bCs/>
          <w:iCs/>
        </w:rPr>
      </w:pPr>
      <w:r w:rsidRPr="005D367F">
        <w:rPr>
          <w:rFonts w:ascii="Arial" w:hAnsi="Arial" w:cs="Arial"/>
          <w:b/>
          <w:bCs/>
          <w:iCs/>
          <w:highlight w:val="yellow"/>
        </w:rPr>
        <w:t>[Contact information for designated officer here, usually clerk, treasurer, manager, or selectperson]</w:t>
      </w:r>
    </w:p>
    <w:p w14:paraId="2F690C5F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6C0C520E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>Your Notice of Appeal must: specify who is taking the appeal, identify the decision being appealed, and name the court where you are taking the appeal.</w:t>
      </w:r>
    </w:p>
    <w:p w14:paraId="2FB4D01C" w14:textId="77777777" w:rsidR="005D367F" w:rsidRPr="005D367F" w:rsidRDefault="005D367F" w:rsidP="005D367F">
      <w:pPr>
        <w:pStyle w:val="ListParagraph"/>
        <w:rPr>
          <w:rFonts w:ascii="Arial" w:hAnsi="Arial" w:cs="Arial"/>
          <w:iCs/>
        </w:rPr>
      </w:pPr>
    </w:p>
    <w:p w14:paraId="46A080BD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 xml:space="preserve">Upon receipt of the Notice of Appeal, the </w:t>
      </w:r>
      <w:r w:rsidRPr="005D367F">
        <w:rPr>
          <w:rFonts w:ascii="Arial" w:hAnsi="Arial" w:cs="Arial"/>
          <w:iCs/>
          <w:highlight w:val="yellow"/>
        </w:rPr>
        <w:t>Town/City</w:t>
      </w:r>
      <w:r w:rsidRPr="005D367F">
        <w:rPr>
          <w:rFonts w:ascii="Arial" w:hAnsi="Arial" w:cs="Arial"/>
          <w:iCs/>
        </w:rPr>
        <w:t xml:space="preserve"> will provide you with a list of all interested parties and instructions to serve all interested parties, and the Civil Division of the Superior Court, with the Notice. </w:t>
      </w:r>
    </w:p>
    <w:p w14:paraId="16779FD7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063BB208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 xml:space="preserve">Pursuant to V.R.C.P. 74(c), an appeal to Superior Court </w:t>
      </w:r>
      <w:r w:rsidRPr="005D367F">
        <w:rPr>
          <w:rFonts w:ascii="Arial" w:hAnsi="Arial" w:cs="Arial"/>
          <w:b/>
          <w:bCs/>
          <w:iCs/>
        </w:rPr>
        <w:t xml:space="preserve">does not stay </w:t>
      </w:r>
      <w:r w:rsidRPr="005D367F">
        <w:rPr>
          <w:rFonts w:ascii="Arial" w:hAnsi="Arial" w:cs="Arial"/>
          <w:iCs/>
        </w:rPr>
        <w:t xml:space="preserve">enforcement of the </w:t>
      </w:r>
      <w:r w:rsidRPr="005D367F">
        <w:rPr>
          <w:rFonts w:ascii="Arial" w:hAnsi="Arial" w:cs="Arial"/>
          <w:iCs/>
          <w:highlight w:val="yellow"/>
        </w:rPr>
        <w:t>Town/City’s</w:t>
      </w:r>
      <w:r w:rsidRPr="005D367F">
        <w:rPr>
          <w:rFonts w:ascii="Arial" w:hAnsi="Arial" w:cs="Arial"/>
          <w:iCs/>
        </w:rPr>
        <w:t xml:space="preserve"> decision. You are obligated to follow the decision unless you request, and the Court </w:t>
      </w:r>
      <w:proofErr w:type="gramStart"/>
      <w:r w:rsidRPr="005D367F">
        <w:rPr>
          <w:rFonts w:ascii="Arial" w:hAnsi="Arial" w:cs="Arial"/>
          <w:iCs/>
        </w:rPr>
        <w:t>grants,</w:t>
      </w:r>
      <w:proofErr w:type="gramEnd"/>
      <w:r w:rsidRPr="005D367F">
        <w:rPr>
          <w:rFonts w:ascii="Arial" w:hAnsi="Arial" w:cs="Arial"/>
          <w:iCs/>
        </w:rPr>
        <w:t xml:space="preserve"> a motion to stay the decision pending the appeal.</w:t>
      </w:r>
    </w:p>
    <w:p w14:paraId="3B2995DA" w14:textId="77777777" w:rsidR="005D367F" w:rsidRPr="005D367F" w:rsidRDefault="005D367F" w:rsidP="005D367F">
      <w:pPr>
        <w:rPr>
          <w:rFonts w:ascii="Arial" w:hAnsi="Arial" w:cs="Arial"/>
          <w:iCs/>
        </w:rPr>
      </w:pPr>
    </w:p>
    <w:p w14:paraId="4566A7D5" w14:textId="77777777" w:rsidR="005D367F" w:rsidRPr="005D367F" w:rsidRDefault="005D367F" w:rsidP="005D367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iCs/>
        </w:rPr>
      </w:pPr>
      <w:r w:rsidRPr="005D367F">
        <w:rPr>
          <w:rFonts w:ascii="Arial" w:hAnsi="Arial" w:cs="Arial"/>
          <w:iCs/>
        </w:rPr>
        <w:t xml:space="preserve">The Superior Court will consider the matter </w:t>
      </w:r>
      <w:r w:rsidRPr="005D367F">
        <w:rPr>
          <w:rFonts w:ascii="Arial" w:hAnsi="Arial" w:cs="Arial"/>
          <w:i/>
        </w:rPr>
        <w:t>de novo</w:t>
      </w:r>
      <w:r w:rsidRPr="005D367F">
        <w:rPr>
          <w:rFonts w:ascii="Arial" w:hAnsi="Arial" w:cs="Arial"/>
          <w:iCs/>
        </w:rPr>
        <w:t xml:space="preserve"> (anew) and all persons and parties in interest, as determined by court rule, may </w:t>
      </w:r>
      <w:proofErr w:type="gramStart"/>
      <w:r w:rsidRPr="005D367F">
        <w:rPr>
          <w:rFonts w:ascii="Arial" w:hAnsi="Arial" w:cs="Arial"/>
          <w:iCs/>
        </w:rPr>
        <w:t>appear</w:t>
      </w:r>
      <w:proofErr w:type="gramEnd"/>
      <w:r w:rsidRPr="005D367F">
        <w:rPr>
          <w:rFonts w:ascii="Arial" w:hAnsi="Arial" w:cs="Arial"/>
          <w:iCs/>
        </w:rPr>
        <w:t xml:space="preserve"> and be heard. You have the right to bring an attorney and witnesses. </w:t>
      </w:r>
    </w:p>
    <w:p w14:paraId="0E4175D7" w14:textId="77777777" w:rsidR="005D367F" w:rsidRPr="005D367F" w:rsidRDefault="005D367F" w:rsidP="005D367F">
      <w:pPr>
        <w:rPr>
          <w:rFonts w:ascii="Arial" w:hAnsi="Arial" w:cs="Arial"/>
        </w:rPr>
      </w:pPr>
    </w:p>
    <w:p w14:paraId="165142FD" w14:textId="77777777" w:rsidR="00F40E8C" w:rsidRPr="005D367F" w:rsidRDefault="00F40E8C">
      <w:pPr>
        <w:rPr>
          <w:rFonts w:ascii="Arial" w:hAnsi="Arial" w:cs="Arial"/>
        </w:rPr>
      </w:pPr>
    </w:p>
    <w:sectPr w:rsidR="00F40E8C" w:rsidRPr="005D367F" w:rsidSect="005D367F">
      <w:headerReference w:type="even" r:id="rId7"/>
      <w:headerReference w:type="first" r:id="rId8"/>
      <w:footerReference w:type="first" r:id="rId9"/>
      <w:pgSz w:w="12240" w:h="15840"/>
      <w:pgMar w:top="1296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E01E" w14:textId="77777777" w:rsidR="005D367F" w:rsidRDefault="005D367F" w:rsidP="005D367F">
      <w:r>
        <w:separator/>
      </w:r>
    </w:p>
  </w:endnote>
  <w:endnote w:type="continuationSeparator" w:id="0">
    <w:p w14:paraId="0D6A2F2B" w14:textId="77777777" w:rsidR="005D367F" w:rsidRDefault="005D367F" w:rsidP="005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37CD" w14:textId="1649D675" w:rsidR="005D367F" w:rsidRDefault="005D367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7806A4" wp14:editId="10E758E4">
          <wp:simplePos x="0" y="0"/>
          <wp:positionH relativeFrom="column">
            <wp:posOffset>5766435</wp:posOffset>
          </wp:positionH>
          <wp:positionV relativeFrom="paragraph">
            <wp:posOffset>-622300</wp:posOffset>
          </wp:positionV>
          <wp:extent cx="591820" cy="676910"/>
          <wp:effectExtent l="0" t="0" r="0" b="8890"/>
          <wp:wrapSquare wrapText="bothSides"/>
          <wp:docPr id="7621957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A3ABE7" wp14:editId="78E92211">
              <wp:simplePos x="0" y="0"/>
              <wp:positionH relativeFrom="column">
                <wp:posOffset>-520065</wp:posOffset>
              </wp:positionH>
              <wp:positionV relativeFrom="paragraph">
                <wp:posOffset>177800</wp:posOffset>
              </wp:positionV>
              <wp:extent cx="6972300" cy="0"/>
              <wp:effectExtent l="13335" t="6350" r="5715" b="12700"/>
              <wp:wrapNone/>
              <wp:docPr id="191467115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2484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14pt" to="508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0KrwEAAEgDAAAOAAAAZHJzL2Uyb0RvYy54bWysU8GO0zAQvSPxD5bvNGlXLB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2471" w14:textId="77777777" w:rsidR="005D367F" w:rsidRDefault="005D367F" w:rsidP="005D367F">
      <w:r>
        <w:separator/>
      </w:r>
    </w:p>
  </w:footnote>
  <w:footnote w:type="continuationSeparator" w:id="0">
    <w:p w14:paraId="2C96EDC5" w14:textId="77777777" w:rsidR="005D367F" w:rsidRDefault="005D367F" w:rsidP="005D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1C7A" w14:textId="5D38FB80" w:rsidR="005D367F" w:rsidRDefault="005D367F">
    <w:pPr>
      <w:pStyle w:val="Header"/>
    </w:pPr>
    <w:r>
      <w:rPr>
        <w:noProof/>
      </w:rPr>
      <w:drawing>
        <wp:inline distT="0" distB="0" distL="0" distR="0" wp14:anchorId="6C069B8D" wp14:editId="1821A162">
          <wp:extent cx="5486400" cy="895350"/>
          <wp:effectExtent l="0" t="0" r="0" b="0"/>
          <wp:docPr id="414016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9D0" w14:textId="660EECD7" w:rsidR="005D367F" w:rsidRDefault="005D36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27C52" wp14:editId="7CFBE1B6">
              <wp:simplePos x="0" y="0"/>
              <wp:positionH relativeFrom="column">
                <wp:posOffset>-634365</wp:posOffset>
              </wp:positionH>
              <wp:positionV relativeFrom="paragraph">
                <wp:posOffset>-111760</wp:posOffset>
              </wp:positionV>
              <wp:extent cx="7199630" cy="996950"/>
              <wp:effectExtent l="3810" t="2540" r="0" b="635"/>
              <wp:wrapNone/>
              <wp:docPr id="3634440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963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69E58" w14:textId="335DBC72" w:rsidR="005D367F" w:rsidRDefault="005D36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27C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9.95pt;margin-top:-8.8pt;width:566.9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" filled="f" stroked="f">
              <v:fill opacity="32896f"/>
              <v:textbox>
                <w:txbxContent>
                  <w:p w14:paraId="5AA69E58" w14:textId="335DBC72" w:rsidR="005D367F" w:rsidRDefault="005D36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2D0"/>
    <w:multiLevelType w:val="hybridMultilevel"/>
    <w:tmpl w:val="A7EA6E02"/>
    <w:lvl w:ilvl="0" w:tplc="CAB8AB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73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F"/>
    <w:rsid w:val="000D1CD9"/>
    <w:rsid w:val="005D367F"/>
    <w:rsid w:val="00D92176"/>
    <w:rsid w:val="00E129F3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7316E"/>
  <w15:chartTrackingRefBased/>
  <w15:docId w15:val="{DC013C36-6C21-4E47-91DB-6C851CFC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7F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367F"/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rsid w:val="005D36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67F"/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D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4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Meg (she/her)</dc:creator>
  <cp:keywords/>
  <dc:description/>
  <cp:lastModifiedBy>Duggan, Kelly (she/her)</cp:lastModifiedBy>
  <cp:revision>2</cp:revision>
  <dcterms:created xsi:type="dcterms:W3CDTF">2024-04-17T21:06:00Z</dcterms:created>
  <dcterms:modified xsi:type="dcterms:W3CDTF">2024-04-17T21:06:00Z</dcterms:modified>
</cp:coreProperties>
</file>