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93" w:rsidRDefault="00563BD7" w:rsidP="00D257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788F05" wp14:editId="3E6BAA00">
            <wp:extent cx="8229600" cy="4317365"/>
            <wp:effectExtent l="0" t="0" r="0" b="698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BF40D34-C9EE-485B-8577-3DD6D08FD9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E77BE" w:rsidRDefault="00CE77BE" w:rsidP="00D25707">
      <w:pPr>
        <w:jc w:val="center"/>
      </w:pPr>
    </w:p>
    <w:sectPr w:rsidR="00CE77BE" w:rsidSect="00270B93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D7"/>
    <w:rsid w:val="001328AB"/>
    <w:rsid w:val="00270B93"/>
    <w:rsid w:val="00454F93"/>
    <w:rsid w:val="004C7100"/>
    <w:rsid w:val="00563BD7"/>
    <w:rsid w:val="00CE77BE"/>
    <w:rsid w:val="00D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294"/>
  <w15:chartTrackingRefBased/>
  <w15:docId w15:val="{1E235173-5DC1-4AB1-B3C2-D4593A4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700"/>
              <a:t>Non-medical</a:t>
            </a:r>
            <a:r>
              <a:rPr lang="en-US" sz="1700" baseline="0"/>
              <a:t> Immunization </a:t>
            </a:r>
            <a:r>
              <a:rPr lang="en-US" sz="1700"/>
              <a:t>Exemptions and Provisional Admittance: Kindergarten, Vermont School years</a:t>
            </a:r>
            <a:r>
              <a:rPr lang="en-US" sz="1700" baseline="0"/>
              <a:t>: </a:t>
            </a:r>
            <a:r>
              <a:rPr lang="en-US" sz="1700"/>
              <a:t>2003 </a:t>
            </a:r>
            <a:r>
              <a:rPr lang="en-US" sz="1700" baseline="0"/>
              <a:t>- </a:t>
            </a:r>
            <a:r>
              <a:rPr lang="en-US" sz="1700"/>
              <a:t>2017</a:t>
            </a:r>
          </a:p>
        </c:rich>
      </c:tx>
      <c:layout>
        <c:manualLayout>
          <c:xMode val="edge"/>
          <c:yMode val="edge"/>
          <c:x val="1.6740004814834387E-2"/>
          <c:y val="2.39387986949392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102380907849693E-2"/>
          <c:y val="0.14213414412307374"/>
          <c:w val="0.81659743207774704"/>
          <c:h val="0.61452706530495571"/>
        </c:manualLayout>
      </c:layout>
      <c:lineChart>
        <c:grouping val="standard"/>
        <c:varyColors val="0"/>
        <c:ser>
          <c:idx val="6"/>
          <c:order val="0"/>
          <c:tx>
            <c:strRef>
              <c:f>SimplifiedDataLayout!$M$2</c:f>
              <c:strCache>
                <c:ptCount val="1"/>
                <c:pt idx="0">
                  <c:v>provisional status (%)</c:v>
                </c:pt>
              </c:strCache>
            </c:strRef>
          </c:tx>
          <c:spPr>
            <a:ln w="38100">
              <a:solidFill>
                <a:schemeClr val="accent1">
                  <a:lumMod val="75000"/>
                </a:schemeClr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chemeClr val="tx2">
                    <a:lumMod val="40000"/>
                    <a:lumOff val="60000"/>
                  </a:schemeClr>
                </a:solidFill>
                <a:prstDash val="solid"/>
              </a:ln>
            </c:spPr>
          </c:marker>
          <c:cat>
            <c:strRef>
              <c:f>SimplifiedDataLayout!$A$3:$A$17</c:f>
              <c:strCache>
                <c:ptCount val="15"/>
                <c:pt idx="0">
                  <c:v>2017-18</c:v>
                </c:pt>
                <c:pt idx="1">
                  <c:v>2016-17</c:v>
                </c:pt>
                <c:pt idx="2">
                  <c:v>2015-16</c:v>
                </c:pt>
                <c:pt idx="3">
                  <c:v>2014-15</c:v>
                </c:pt>
                <c:pt idx="4">
                  <c:v>2013-14</c:v>
                </c:pt>
                <c:pt idx="5">
                  <c:v>2012-13</c:v>
                </c:pt>
                <c:pt idx="6">
                  <c:v>2011-12</c:v>
                </c:pt>
                <c:pt idx="7">
                  <c:v>2010-11</c:v>
                </c:pt>
                <c:pt idx="8">
                  <c:v>2009-10</c:v>
                </c:pt>
                <c:pt idx="9">
                  <c:v>2008-09</c:v>
                </c:pt>
                <c:pt idx="10">
                  <c:v>2007-08</c:v>
                </c:pt>
                <c:pt idx="11">
                  <c:v>2006-07</c:v>
                </c:pt>
                <c:pt idx="12">
                  <c:v>2005-06</c:v>
                </c:pt>
                <c:pt idx="13">
                  <c:v>2004-05</c:v>
                </c:pt>
                <c:pt idx="14">
                  <c:v>2003-04</c:v>
                </c:pt>
              </c:strCache>
            </c:strRef>
          </c:cat>
          <c:val>
            <c:numRef>
              <c:f>SimplifiedDataLayout!$M$3:$M$17</c:f>
              <c:numCache>
                <c:formatCode>0.0%</c:formatCode>
                <c:ptCount val="15"/>
                <c:pt idx="0">
                  <c:v>5.0999999999999997E-2</c:v>
                </c:pt>
                <c:pt idx="1">
                  <c:v>6.431273644388398E-2</c:v>
                </c:pt>
                <c:pt idx="2">
                  <c:v>4.6497015394282123E-2</c:v>
                </c:pt>
                <c:pt idx="3">
                  <c:v>6.1653656205193565E-2</c:v>
                </c:pt>
                <c:pt idx="4">
                  <c:v>7.9161128341456208E-2</c:v>
                </c:pt>
                <c:pt idx="5">
                  <c:v>7.0376914016489989E-2</c:v>
                </c:pt>
                <c:pt idx="6">
                  <c:v>7.3152107513744652E-2</c:v>
                </c:pt>
                <c:pt idx="7">
                  <c:v>0.10709484690067214</c:v>
                </c:pt>
                <c:pt idx="8">
                  <c:v>9.5039475644272314E-2</c:v>
                </c:pt>
                <c:pt idx="9">
                  <c:v>0.12481601413011481</c:v>
                </c:pt>
                <c:pt idx="10">
                  <c:v>6.1483890038427434E-2</c:v>
                </c:pt>
                <c:pt idx="11">
                  <c:v>5.1915764843521499E-2</c:v>
                </c:pt>
                <c:pt idx="12">
                  <c:v>4.4736453565628227E-2</c:v>
                </c:pt>
                <c:pt idx="13">
                  <c:v>5.0530785562632699E-2</c:v>
                </c:pt>
                <c:pt idx="14">
                  <c:v>5.6352165184972755E-2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A7E-4EBF-90A7-1DC0D946827A}"/>
            </c:ext>
          </c:extLst>
        </c:ser>
        <c:ser>
          <c:idx val="3"/>
          <c:order val="1"/>
          <c:tx>
            <c:strRef>
              <c:f>SimplifiedDataLayout!$J$2</c:f>
              <c:strCache>
                <c:ptCount val="1"/>
                <c:pt idx="0">
                  <c:v>philosophic exemptions (%)</c:v>
                </c:pt>
              </c:strCache>
            </c:strRef>
          </c:tx>
          <c:spPr>
            <a:ln w="38100">
              <a:solidFill>
                <a:srgbClr val="C00000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SimplifiedDataLayout!$A$3:$A$17</c:f>
              <c:strCache>
                <c:ptCount val="15"/>
                <c:pt idx="0">
                  <c:v>2017-18</c:v>
                </c:pt>
                <c:pt idx="1">
                  <c:v>2016-17</c:v>
                </c:pt>
                <c:pt idx="2">
                  <c:v>2015-16</c:v>
                </c:pt>
                <c:pt idx="3">
                  <c:v>2014-15</c:v>
                </c:pt>
                <c:pt idx="4">
                  <c:v>2013-14</c:v>
                </c:pt>
                <c:pt idx="5">
                  <c:v>2012-13</c:v>
                </c:pt>
                <c:pt idx="6">
                  <c:v>2011-12</c:v>
                </c:pt>
                <c:pt idx="7">
                  <c:v>2010-11</c:v>
                </c:pt>
                <c:pt idx="8">
                  <c:v>2009-10</c:v>
                </c:pt>
                <c:pt idx="9">
                  <c:v>2008-09</c:v>
                </c:pt>
                <c:pt idx="10">
                  <c:v>2007-08</c:v>
                </c:pt>
                <c:pt idx="11">
                  <c:v>2006-07</c:v>
                </c:pt>
                <c:pt idx="12">
                  <c:v>2005-06</c:v>
                </c:pt>
                <c:pt idx="13">
                  <c:v>2004-05</c:v>
                </c:pt>
                <c:pt idx="14">
                  <c:v>2003-04</c:v>
                </c:pt>
              </c:strCache>
            </c:strRef>
          </c:cat>
          <c:val>
            <c:numRef>
              <c:f>SimplifiedDataLayout!$J$3:$J$17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 formatCode="0.0%">
                  <c:v>4.6025761859880616E-2</c:v>
                </c:pt>
                <c:pt idx="3" formatCode="0.0%">
                  <c:v>5.8148797196112795E-2</c:v>
                </c:pt>
                <c:pt idx="4" formatCode="0.0%">
                  <c:v>5.8927780239255649E-2</c:v>
                </c:pt>
                <c:pt idx="5" formatCode="0.0%">
                  <c:v>5.4623085983510011E-2</c:v>
                </c:pt>
                <c:pt idx="6" formatCode="0.0%">
                  <c:v>5.2229688454489921E-2</c:v>
                </c:pt>
                <c:pt idx="7" formatCode="0.0%">
                  <c:v>5.3771471247199401E-2</c:v>
                </c:pt>
                <c:pt idx="8" formatCode="0.0%">
                  <c:v>5.0796961120214507E-2</c:v>
                </c:pt>
                <c:pt idx="9" formatCode="0.0%">
                  <c:v>5.4754194877833381E-2</c:v>
                </c:pt>
                <c:pt idx="10" formatCode="0.0%">
                  <c:v>2.7194797516996747E-2</c:v>
                </c:pt>
                <c:pt idx="11" formatCode="0.0%">
                  <c:v>2.3983620941795847E-2</c:v>
                </c:pt>
                <c:pt idx="12" formatCode="0.0%">
                  <c:v>2.1113243761996161E-2</c:v>
                </c:pt>
                <c:pt idx="13" formatCode="0.0%">
                  <c:v>1.8966737438075018E-2</c:v>
                </c:pt>
                <c:pt idx="14" formatCode="0.0%">
                  <c:v>1.7063378262116433E-2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A7E-4EBF-90A7-1DC0D946827A}"/>
            </c:ext>
          </c:extLst>
        </c:ser>
        <c:ser>
          <c:idx val="0"/>
          <c:order val="2"/>
          <c:tx>
            <c:strRef>
              <c:f>SimplifiedDataLayout!$H$2</c:f>
              <c:strCache>
                <c:ptCount val="1"/>
                <c:pt idx="0">
                  <c:v>religious exemptions (%)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SimplifiedDataLayout!$A$3:$A$17</c:f>
              <c:strCache>
                <c:ptCount val="15"/>
                <c:pt idx="0">
                  <c:v>2017-18</c:v>
                </c:pt>
                <c:pt idx="1">
                  <c:v>2016-17</c:v>
                </c:pt>
                <c:pt idx="2">
                  <c:v>2015-16</c:v>
                </c:pt>
                <c:pt idx="3">
                  <c:v>2014-15</c:v>
                </c:pt>
                <c:pt idx="4">
                  <c:v>2013-14</c:v>
                </c:pt>
                <c:pt idx="5">
                  <c:v>2012-13</c:v>
                </c:pt>
                <c:pt idx="6">
                  <c:v>2011-12</c:v>
                </c:pt>
                <c:pt idx="7">
                  <c:v>2010-11</c:v>
                </c:pt>
                <c:pt idx="8">
                  <c:v>2009-10</c:v>
                </c:pt>
                <c:pt idx="9">
                  <c:v>2008-09</c:v>
                </c:pt>
                <c:pt idx="10">
                  <c:v>2007-08</c:v>
                </c:pt>
                <c:pt idx="11">
                  <c:v>2006-07</c:v>
                </c:pt>
                <c:pt idx="12">
                  <c:v>2005-06</c:v>
                </c:pt>
                <c:pt idx="13">
                  <c:v>2004-05</c:v>
                </c:pt>
                <c:pt idx="14">
                  <c:v>2003-04</c:v>
                </c:pt>
              </c:strCache>
            </c:strRef>
          </c:cat>
          <c:val>
            <c:numRef>
              <c:f>SimplifiedDataLayout!$H$3:$H$17</c:f>
              <c:numCache>
                <c:formatCode>0.0%</c:formatCode>
                <c:ptCount val="15"/>
                <c:pt idx="0">
                  <c:v>3.5999999999999997E-2</c:v>
                </c:pt>
                <c:pt idx="1">
                  <c:v>3.6885245901639344E-2</c:v>
                </c:pt>
                <c:pt idx="2">
                  <c:v>9.2679861765629905E-3</c:v>
                </c:pt>
                <c:pt idx="3">
                  <c:v>1.2744941851202804E-3</c:v>
                </c:pt>
                <c:pt idx="4">
                  <c:v>1.9199527396248708E-3</c:v>
                </c:pt>
                <c:pt idx="5">
                  <c:v>2.061248527679623E-3</c:v>
                </c:pt>
                <c:pt idx="6">
                  <c:v>1.3744654856444715E-3</c:v>
                </c:pt>
                <c:pt idx="7">
                  <c:v>1.7923823749066467E-3</c:v>
                </c:pt>
                <c:pt idx="8">
                  <c:v>1.9365410397735737E-3</c:v>
                </c:pt>
                <c:pt idx="9">
                  <c:v>3.0909626140712392E-3</c:v>
                </c:pt>
                <c:pt idx="10">
                  <c:v>7.3898906296186815E-4</c:v>
                </c:pt>
                <c:pt idx="11">
                  <c:v>7.3120795554255632E-4</c:v>
                </c:pt>
                <c:pt idx="12">
                  <c:v>5.9058024509080177E-4</c:v>
                </c:pt>
                <c:pt idx="13">
                  <c:v>7.0771408351026188E-4</c:v>
                </c:pt>
                <c:pt idx="14">
                  <c:v>7.169486664754804E-4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A7E-4EBF-90A7-1DC0D9468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6161224"/>
        <c:axId val="1"/>
      </c:lineChart>
      <c:catAx>
        <c:axId val="306161224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sz="15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School Year</a:t>
                </a:r>
              </a:p>
            </c:rich>
          </c:tx>
          <c:layout>
            <c:manualLayout>
              <c:xMode val="edge"/>
              <c:yMode val="edge"/>
              <c:x val="0.38812744044578323"/>
              <c:y val="0.8939688509085617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1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Percentage of Enrolled Students </a:t>
                </a:r>
              </a:p>
            </c:rich>
          </c:tx>
          <c:layout>
            <c:manualLayout>
              <c:xMode val="edge"/>
              <c:yMode val="edge"/>
              <c:x val="0.95742018824828101"/>
              <c:y val="0.15322577215161537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06161224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9720680888043357E-2"/>
          <c:y val="0.19395866561455935"/>
          <c:w val="0.25651241581379508"/>
          <c:h val="0.1561618230557001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chemeClr val="tx1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0.40162</cdr:x>
      <cdr:y>0.14852</cdr:y>
    </cdr:from>
    <cdr:to>
      <cdr:x>0.54167</cdr:x>
      <cdr:y>0.28119</cdr:y>
    </cdr:to>
    <cdr:sp macro="" textlink="">
      <cdr:nvSpPr>
        <cdr:cNvPr id="716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05175" y="714377"/>
          <a:ext cx="1152525" cy="6381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0" tIns="22860" rIns="27432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r>
            <a:rPr lang="en-US" sz="900" b="0" i="0" u="none" strike="noStrike" baseline="0">
              <a:solidFill>
                <a:srgbClr val="000000"/>
              </a:solidFill>
              <a:latin typeface="Arial"/>
              <a:cs typeface="Arial"/>
            </a:rPr>
            <a:t>Varicella (2 doses) requirement added to school rules in 2008</a:t>
          </a:r>
          <a:r>
            <a:rPr lang="en-US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.</a:t>
          </a:r>
          <a:endParaRPr lang="en-US"/>
        </a:p>
      </cdr:txBody>
    </cdr:sp>
  </cdr:relSizeAnchor>
  <cdr:relSizeAnchor xmlns:cdr="http://schemas.openxmlformats.org/drawingml/2006/chartDrawing">
    <cdr:from>
      <cdr:x>0.01913</cdr:x>
      <cdr:y>0.34595</cdr:y>
    </cdr:from>
    <cdr:to>
      <cdr:x>0.15366</cdr:x>
      <cdr:y>0.53839</cdr:y>
    </cdr:to>
    <cdr:sp macro="" textlink="">
      <cdr:nvSpPr>
        <cdr:cNvPr id="717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003" y="1509054"/>
          <a:ext cx="1018758" cy="8376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0" tIns="22860" rIns="27432" bIns="0" anchor="t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0.3761</cdr:x>
      <cdr:y>0.18614</cdr:y>
    </cdr:from>
    <cdr:to>
      <cdr:x>0.39815</cdr:x>
      <cdr:y>0.20079</cdr:y>
    </cdr:to>
    <cdr:sp macro="" textlink="">
      <cdr:nvSpPr>
        <cdr:cNvPr id="6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095186" y="895351"/>
          <a:ext cx="181414" cy="70462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0.79083</cdr:x>
      <cdr:y>0.44563</cdr:y>
    </cdr:from>
    <cdr:to>
      <cdr:x>0.8132</cdr:x>
      <cdr:y>0.5565</cdr:y>
    </cdr:to>
    <cdr:cxnSp macro="">
      <cdr:nvCxnSpPr>
        <cdr:cNvPr id="3" name="Straight Arrow Connector 2">
          <a:extLst xmlns:a="http://schemas.openxmlformats.org/drawingml/2006/main">
            <a:ext uri="{FF2B5EF4-FFF2-40B4-BE49-F238E27FC236}">
              <a16:creationId xmlns:a16="http://schemas.microsoft.com/office/drawing/2014/main" id="{2A28C456-D16E-4606-AD5C-F3E8EF5451EC}"/>
            </a:ext>
          </a:extLst>
        </cdr:cNvPr>
        <cdr:cNvCxnSpPr/>
      </cdr:nvCxnSpPr>
      <cdr:spPr>
        <a:xfrm xmlns:a="http://schemas.openxmlformats.org/drawingml/2006/main">
          <a:off x="6734175" y="1990725"/>
          <a:ext cx="190500" cy="4953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0.72917</cdr:x>
      <cdr:y>0.27129</cdr:y>
    </cdr:from>
    <cdr:to>
      <cdr:x>0.82523</cdr:x>
      <cdr:y>0.38614</cdr:y>
    </cdr:to>
    <cdr:sp macro="" textlink="">
      <cdr:nvSpPr>
        <cdr:cNvPr id="14" name="TextBox 13">
          <a:extLst xmlns:a="http://schemas.openxmlformats.org/drawingml/2006/main">
            <a:ext uri="{FF2B5EF4-FFF2-40B4-BE49-F238E27FC236}">
              <a16:creationId xmlns:a16="http://schemas.microsoft.com/office/drawing/2014/main" id="{4251FAEB-9DD1-46B1-A061-446BFC3A19CE}"/>
            </a:ext>
          </a:extLst>
        </cdr:cNvPr>
        <cdr:cNvSpPr txBox="1"/>
      </cdr:nvSpPr>
      <cdr:spPr>
        <a:xfrm xmlns:a="http://schemas.openxmlformats.org/drawingml/2006/main">
          <a:off x="6000750" y="1304926"/>
          <a:ext cx="790575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0.73602</cdr:x>
      <cdr:y>0.30693</cdr:y>
    </cdr:from>
    <cdr:to>
      <cdr:x>0.84491</cdr:x>
      <cdr:y>0.46482</cdr:y>
    </cdr:to>
    <cdr:sp macro="" textlink="">
      <cdr:nvSpPr>
        <cdr:cNvPr id="15" name="TextBox 14">
          <a:extLst xmlns:a="http://schemas.openxmlformats.org/drawingml/2006/main">
            <a:ext uri="{FF2B5EF4-FFF2-40B4-BE49-F238E27FC236}">
              <a16:creationId xmlns:a16="http://schemas.microsoft.com/office/drawing/2014/main" id="{B64E7439-0BD0-4554-B12D-04F964DB0865}"/>
            </a:ext>
          </a:extLst>
        </cdr:cNvPr>
        <cdr:cNvSpPr txBox="1"/>
      </cdr:nvSpPr>
      <cdr:spPr>
        <a:xfrm xmlns:a="http://schemas.openxmlformats.org/drawingml/2006/main">
          <a:off x="6267451" y="1371125"/>
          <a:ext cx="927254" cy="705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900" b="0" i="0">
              <a:latin typeface="Arial" panose="020B0604020202020204" pitchFamily="34" charset="0"/>
              <a:cs typeface="Arial" panose="020B0604020202020204" pitchFamily="34" charset="0"/>
            </a:rPr>
            <a:t>philosophic</a:t>
          </a:r>
          <a:r>
            <a:rPr lang="en-US" sz="900" b="0" i="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r>
            <a:rPr lang="en-US" sz="900" b="0" i="0" baseline="0">
              <a:latin typeface="Arial" panose="020B0604020202020204" pitchFamily="34" charset="0"/>
              <a:cs typeface="Arial" panose="020B0604020202020204" pitchFamily="34" charset="0"/>
            </a:rPr>
            <a:t>exemption</a:t>
          </a:r>
        </a:p>
        <a:p xmlns:a="http://schemas.openxmlformats.org/drawingml/2006/main">
          <a:r>
            <a:rPr lang="en-US" sz="900" b="0" i="0" baseline="0">
              <a:latin typeface="Arial" panose="020B0604020202020204" pitchFamily="34" charset="0"/>
              <a:cs typeface="Arial" panose="020B0604020202020204" pitchFamily="34" charset="0"/>
            </a:rPr>
            <a:t>eliminated</a:t>
          </a:r>
        </a:p>
        <a:p xmlns:a="http://schemas.openxmlformats.org/drawingml/2006/main">
          <a:r>
            <a:rPr lang="en-US" sz="900" b="0" i="0" baseline="0">
              <a:latin typeface="Arial" panose="020B0604020202020204" pitchFamily="34" charset="0"/>
              <a:cs typeface="Arial" panose="020B0604020202020204" pitchFamily="34" charset="0"/>
            </a:rPr>
            <a:t>2016-17</a:t>
          </a:r>
          <a:endParaRPr lang="en-US" sz="900" b="0" i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Halverson, Karen</dc:creator>
  <cp:keywords/>
  <dc:description/>
  <cp:lastModifiedBy>Halverson, Karen</cp:lastModifiedBy>
  <cp:revision>6</cp:revision>
  <cp:lastPrinted>2018-04-25T16:08:00Z</cp:lastPrinted>
  <dcterms:created xsi:type="dcterms:W3CDTF">2018-04-25T15:55:00Z</dcterms:created>
  <dcterms:modified xsi:type="dcterms:W3CDTF">2018-04-25T17:04:00Z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